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EDAE9">
      <w:pPr>
        <w:pStyle w:val="2"/>
        <w:spacing w:line="360" w:lineRule="auto"/>
        <w:rPr>
          <w:rFonts w:hint="eastAsia" w:ascii="仿宋_GB2312" w:hAnsi="仿宋_GB2312" w:eastAsia="仿宋_GB2312" w:cs="仿宋_GB2312"/>
          <w:b/>
          <w:bCs/>
          <w:lang w:eastAsia="zh-CN"/>
        </w:rPr>
      </w:pPr>
      <w:r>
        <w:rPr>
          <w:rFonts w:hint="eastAsia" w:ascii="仿宋_GB2312" w:hAnsi="仿宋_GB2312" w:eastAsia="仿宋_GB2312" w:cs="仿宋_GB2312"/>
          <w:b/>
          <w:bCs/>
          <w:kern w:val="2"/>
          <w:sz w:val="28"/>
          <w:szCs w:val="28"/>
          <w:lang w:eastAsia="zh-CN"/>
        </w:rPr>
        <w:t>附件6：</w:t>
      </w:r>
    </w:p>
    <w:p w14:paraId="2747AACF">
      <w:pPr>
        <w:pStyle w:val="2"/>
        <w:spacing w:line="360" w:lineRule="auto"/>
        <w:jc w:val="center"/>
        <w:rPr>
          <w:rFonts w:hint="eastAsia" w:ascii="仿宋_GB2312" w:hAnsi="仿宋_GB2312" w:eastAsia="仿宋_GB2312" w:cs="仿宋_GB2312"/>
          <w:lang w:eastAsia="zh-CN"/>
        </w:rPr>
      </w:pPr>
      <w:r>
        <w:rPr>
          <w:rFonts w:hint="eastAsia" w:ascii="仿宋_GB2312" w:hAnsi="仿宋_GB2312" w:eastAsia="仿宋_GB2312" w:cs="仿宋_GB2312"/>
          <w:b/>
          <w:bCs/>
          <w:sz w:val="28"/>
          <w:szCs w:val="28"/>
          <w:lang w:eastAsia="zh-CN"/>
        </w:rPr>
        <w:t xml:space="preserve">投标人承销实力/销售能力/申报公司债券质量 </w:t>
      </w:r>
    </w:p>
    <w:tbl>
      <w:tblPr>
        <w:tblStyle w:val="3"/>
        <w:tblW w:w="8464" w:type="dxa"/>
        <w:jc w:val="center"/>
        <w:tblLayout w:type="fixed"/>
        <w:tblCellMar>
          <w:top w:w="0" w:type="dxa"/>
          <w:left w:w="0" w:type="dxa"/>
          <w:bottom w:w="0" w:type="dxa"/>
          <w:right w:w="0" w:type="dxa"/>
        </w:tblCellMar>
      </w:tblPr>
      <w:tblGrid>
        <w:gridCol w:w="6679"/>
        <w:gridCol w:w="1785"/>
      </w:tblGrid>
      <w:tr w14:paraId="6A028890">
        <w:tblPrEx>
          <w:tblCellMar>
            <w:top w:w="0" w:type="dxa"/>
            <w:left w:w="0" w:type="dxa"/>
            <w:bottom w:w="0" w:type="dxa"/>
            <w:right w:w="0" w:type="dxa"/>
          </w:tblCellMar>
        </w:tblPrEx>
        <w:trPr>
          <w:trHeight w:val="595" w:hRule="exact"/>
          <w:jc w:val="center"/>
        </w:trPr>
        <w:tc>
          <w:tcPr>
            <w:tcW w:w="6679" w:type="dxa"/>
            <w:tcBorders>
              <w:top w:val="single" w:color="000000" w:sz="4" w:space="0"/>
              <w:left w:val="single" w:color="000000" w:sz="4" w:space="0"/>
              <w:bottom w:val="single" w:color="000000" w:sz="4" w:space="0"/>
              <w:right w:val="single" w:color="000000" w:sz="4" w:space="0"/>
            </w:tcBorders>
            <w:noWrap w:val="0"/>
            <w:vAlign w:val="center"/>
          </w:tcPr>
          <w:p w14:paraId="756EDE5A">
            <w:pPr>
              <w:pStyle w:val="6"/>
              <w:spacing w:line="360" w:lineRule="auto"/>
              <w:ind w:left="0"/>
              <w:jc w:val="center"/>
              <w:outlineLvl w:val="9"/>
              <w:rPr>
                <w:rFonts w:hint="eastAsia" w:ascii="仿宋_GB2312" w:hAnsi="仿宋_GB2312" w:eastAsia="仿宋_GB2312" w:cs="仿宋_GB2312"/>
                <w:b w:val="0"/>
                <w:bCs w:val="0"/>
                <w:lang w:eastAsia="zh-CN"/>
              </w:rPr>
            </w:pPr>
            <w:r>
              <w:rPr>
                <w:rFonts w:hint="eastAsia" w:ascii="仿宋_GB2312" w:hAnsi="仿宋_GB2312" w:eastAsia="仿宋_GB2312" w:cs="仿宋_GB2312"/>
                <w:bCs w:val="0"/>
                <w:lang w:eastAsia="zh-CN"/>
              </w:rPr>
              <w:t>评分标准</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14:paraId="4337CCD9">
            <w:pPr>
              <w:pStyle w:val="6"/>
              <w:spacing w:line="360" w:lineRule="auto"/>
              <w:ind w:left="0"/>
              <w:jc w:val="center"/>
              <w:outlineLvl w:val="9"/>
              <w:rPr>
                <w:rFonts w:hint="eastAsia" w:ascii="仿宋_GB2312" w:hAnsi="仿宋_GB2312" w:eastAsia="仿宋_GB2312" w:cs="仿宋_GB2312"/>
                <w:b w:val="0"/>
                <w:bCs w:val="0"/>
                <w:lang w:eastAsia="zh-CN"/>
              </w:rPr>
            </w:pPr>
            <w:r>
              <w:rPr>
                <w:rFonts w:hint="eastAsia" w:ascii="仿宋_GB2312" w:hAnsi="仿宋_GB2312" w:eastAsia="仿宋_GB2312" w:cs="仿宋_GB2312"/>
                <w:bCs w:val="0"/>
                <w:lang w:eastAsia="zh-CN"/>
              </w:rPr>
              <w:t>投标人情况简述</w:t>
            </w:r>
          </w:p>
        </w:tc>
      </w:tr>
      <w:tr w14:paraId="1253E64A">
        <w:tblPrEx>
          <w:tblCellMar>
            <w:top w:w="0" w:type="dxa"/>
            <w:left w:w="0" w:type="dxa"/>
            <w:bottom w:w="0" w:type="dxa"/>
            <w:right w:w="0" w:type="dxa"/>
          </w:tblCellMar>
        </w:tblPrEx>
        <w:trPr>
          <w:trHeight w:val="1981" w:hRule="exact"/>
          <w:jc w:val="center"/>
        </w:trPr>
        <w:tc>
          <w:tcPr>
            <w:tcW w:w="6679" w:type="dxa"/>
            <w:tcBorders>
              <w:top w:val="single" w:color="000000" w:sz="4" w:space="0"/>
              <w:left w:val="single" w:color="000000" w:sz="4" w:space="0"/>
              <w:bottom w:val="single" w:color="000000" w:sz="4" w:space="0"/>
              <w:right w:val="single" w:color="000000" w:sz="4" w:space="0"/>
            </w:tcBorders>
            <w:noWrap w:val="0"/>
            <w:vAlign w:val="center"/>
          </w:tcPr>
          <w:p w14:paraId="0F354217">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投标人在2023年1月1日-2025年6月30日期间广东地区公司债券承销总金额排名</w:t>
            </w:r>
          </w:p>
          <w:p w14:paraId="221721E4">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公司债券承销总金额排名1-10名得10分，排名11-20名得5分，排名低于20名得0分。</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14:paraId="337CF2A4">
            <w:pPr>
              <w:pStyle w:val="6"/>
              <w:spacing w:line="360" w:lineRule="auto"/>
              <w:ind w:left="0"/>
              <w:jc w:val="center"/>
              <w:outlineLvl w:val="9"/>
              <w:rPr>
                <w:rFonts w:hint="eastAsia" w:ascii="仿宋_GB2312" w:hAnsi="仿宋_GB2312" w:eastAsia="仿宋_GB2312" w:cs="仿宋_GB2312"/>
                <w:b w:val="0"/>
                <w:bCs w:val="0"/>
                <w:lang w:eastAsia="zh-CN"/>
              </w:rPr>
            </w:pPr>
          </w:p>
        </w:tc>
      </w:tr>
      <w:tr w14:paraId="46A94F96">
        <w:tblPrEx>
          <w:tblCellMar>
            <w:top w:w="0" w:type="dxa"/>
            <w:left w:w="0" w:type="dxa"/>
            <w:bottom w:w="0" w:type="dxa"/>
            <w:right w:w="0" w:type="dxa"/>
          </w:tblCellMar>
        </w:tblPrEx>
        <w:trPr>
          <w:trHeight w:val="3691" w:hRule="exact"/>
          <w:jc w:val="center"/>
        </w:trPr>
        <w:tc>
          <w:tcPr>
            <w:tcW w:w="6679" w:type="dxa"/>
            <w:tcBorders>
              <w:top w:val="single" w:color="000000" w:sz="4" w:space="0"/>
              <w:left w:val="single" w:color="000000" w:sz="4" w:space="0"/>
              <w:bottom w:val="single" w:color="000000" w:sz="4" w:space="0"/>
              <w:right w:val="single" w:color="000000" w:sz="4" w:space="0"/>
            </w:tcBorders>
            <w:noWrap w:val="0"/>
            <w:vAlign w:val="center"/>
          </w:tcPr>
          <w:p w14:paraId="67DCF491">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投标人在2023年1月1日-2025年6月30日期间公司债券承销推迟或发行失败情况</w:t>
            </w:r>
          </w:p>
          <w:p w14:paraId="04FBFB83">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2023年1月1日-2025年6月30日，全国范围内投标人牵头主承销或联席主承销的公司债券存在推迟或发行失败情况的，打分标准如下：1.推迟和取消发行情况在10次以内（含10次）的，得10分；2.推迟和取消发行情况在11-20次（含20次）的，得5分； 其余得0分。</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14:paraId="19106F39">
            <w:pPr>
              <w:pStyle w:val="6"/>
              <w:spacing w:line="360" w:lineRule="auto"/>
              <w:ind w:left="0"/>
              <w:jc w:val="center"/>
              <w:outlineLvl w:val="9"/>
              <w:rPr>
                <w:rFonts w:hint="eastAsia" w:ascii="仿宋_GB2312" w:hAnsi="仿宋_GB2312" w:eastAsia="仿宋_GB2312" w:cs="仿宋_GB2312"/>
                <w:b w:val="0"/>
                <w:bCs w:val="0"/>
                <w:lang w:eastAsia="zh-CN"/>
              </w:rPr>
            </w:pPr>
          </w:p>
        </w:tc>
      </w:tr>
      <w:tr w14:paraId="4CA0C51D">
        <w:tblPrEx>
          <w:tblCellMar>
            <w:top w:w="0" w:type="dxa"/>
            <w:left w:w="0" w:type="dxa"/>
            <w:bottom w:w="0" w:type="dxa"/>
            <w:right w:w="0" w:type="dxa"/>
          </w:tblCellMar>
        </w:tblPrEx>
        <w:trPr>
          <w:trHeight w:val="2419" w:hRule="exact"/>
          <w:jc w:val="center"/>
        </w:trPr>
        <w:tc>
          <w:tcPr>
            <w:tcW w:w="6679" w:type="dxa"/>
            <w:tcBorders>
              <w:top w:val="single" w:color="000000" w:sz="4" w:space="0"/>
              <w:left w:val="single" w:color="000000" w:sz="4" w:space="0"/>
              <w:bottom w:val="single" w:color="000000" w:sz="4" w:space="0"/>
              <w:right w:val="single" w:color="000000" w:sz="4" w:space="0"/>
            </w:tcBorders>
            <w:noWrap w:val="0"/>
            <w:vAlign w:val="center"/>
          </w:tcPr>
          <w:p w14:paraId="19BBB143">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投标人主承销的公司债券被终止审查情况</w:t>
            </w:r>
          </w:p>
          <w:p w14:paraId="35CE74E6">
            <w:pPr>
              <w:pStyle w:val="6"/>
              <w:spacing w:line="360" w:lineRule="auto"/>
              <w:ind w:left="120" w:leftChars="50" w:right="120" w:rightChars="50"/>
              <w:rPr>
                <w:rFonts w:hint="eastAsia" w:ascii="仿宋_GB2312" w:hAnsi="仿宋_GB2312" w:eastAsia="仿宋_GB2312" w:cs="仿宋_GB2312"/>
                <w:b w:val="0"/>
                <w:bCs w:val="0"/>
                <w:kern w:val="2"/>
                <w:lang w:eastAsia="zh-CN"/>
              </w:rPr>
            </w:pPr>
            <w:r>
              <w:rPr>
                <w:rFonts w:hint="eastAsia" w:ascii="仿宋_GB2312" w:hAnsi="仿宋_GB2312" w:eastAsia="仿宋_GB2312" w:cs="仿宋_GB2312"/>
                <w:b w:val="0"/>
                <w:bCs w:val="0"/>
                <w:kern w:val="2"/>
                <w:lang w:eastAsia="zh-CN"/>
              </w:rPr>
              <w:t>根据投标人（合并母子公司口径）2023年1月1日-2025年6月30日被终止审查的公司债券项目数量进行评分：终止审查项目数量在0到5期，得10分；6-12期，得5分；其余得0分。</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14:paraId="1D5CAD07">
            <w:pPr>
              <w:pStyle w:val="6"/>
              <w:spacing w:line="360" w:lineRule="auto"/>
              <w:ind w:left="0"/>
              <w:jc w:val="center"/>
              <w:outlineLvl w:val="9"/>
              <w:rPr>
                <w:rFonts w:hint="eastAsia" w:ascii="仿宋_GB2312" w:hAnsi="仿宋_GB2312" w:eastAsia="仿宋_GB2312" w:cs="仿宋_GB2312"/>
                <w:b w:val="0"/>
                <w:bCs w:val="0"/>
                <w:lang w:eastAsia="zh-CN"/>
              </w:rPr>
            </w:pPr>
          </w:p>
        </w:tc>
      </w:tr>
    </w:tbl>
    <w:p w14:paraId="5C2D823F">
      <w:pPr>
        <w:pStyle w:val="6"/>
        <w:spacing w:line="360" w:lineRule="auto"/>
        <w:ind w:left="0" w:firstLine="960" w:firstLineChars="400"/>
        <w:outlineLvl w:val="9"/>
        <w:rPr>
          <w:rFonts w:hint="eastAsia" w:ascii="仿宋_GB2312" w:hAnsi="仿宋_GB2312" w:eastAsia="仿宋_GB2312" w:cs="仿宋_GB2312"/>
          <w:b w:val="0"/>
          <w:bCs w:val="0"/>
          <w:lang w:eastAsia="zh-CN"/>
        </w:rPr>
      </w:pPr>
      <w:r>
        <w:rPr>
          <w:rFonts w:hint="eastAsia" w:ascii="仿宋_GB2312" w:hAnsi="仿宋_GB2312" w:eastAsia="仿宋_GB2312" w:cs="仿宋_GB2312"/>
          <w:b w:val="0"/>
          <w:bCs w:val="0"/>
          <w:lang w:eastAsia="zh-CN"/>
        </w:rPr>
        <w:t>表后须附：Wind资讯截图及相关资料。</w:t>
      </w:r>
    </w:p>
    <w:p w14:paraId="5DF3E0A8">
      <w:pPr>
        <w:spacing w:line="360" w:lineRule="auto"/>
        <w:ind w:firstLine="720" w:firstLineChars="300"/>
        <w:rPr>
          <w:rFonts w:hint="eastAsia" w:ascii="仿宋_GB2312" w:hAnsi="仿宋_GB2312" w:eastAsia="仿宋_GB2312" w:cs="仿宋_GB2312"/>
          <w:color w:val="000000"/>
        </w:rPr>
      </w:pPr>
    </w:p>
    <w:p w14:paraId="48FCE390">
      <w:pPr>
        <w:spacing w:line="360" w:lineRule="auto"/>
        <w:ind w:firstLine="720" w:firstLineChars="300"/>
        <w:rPr>
          <w:rFonts w:hint="eastAsia" w:ascii="仿宋_GB2312" w:hAnsi="仿宋_GB2312" w:eastAsia="仿宋_GB2312" w:cs="仿宋_GB2312"/>
          <w:color w:val="000000"/>
        </w:rPr>
      </w:pPr>
      <w:r>
        <w:rPr>
          <w:rFonts w:hint="eastAsia" w:ascii="仿宋_GB2312" w:hAnsi="仿宋_GB2312" w:eastAsia="仿宋_GB2312" w:cs="仿宋_GB2312"/>
          <w:color w:val="000000"/>
        </w:rPr>
        <w:t>投标人法定代表人（或授权代表）签字或盖章：</w:t>
      </w:r>
      <w:r>
        <w:rPr>
          <w:rFonts w:hint="eastAsia" w:ascii="仿宋_GB2312" w:hAnsi="仿宋_GB2312" w:eastAsia="仿宋_GB2312" w:cs="仿宋_GB2312"/>
          <w:color w:val="000000"/>
          <w:u w:val="single"/>
        </w:rPr>
        <w:t xml:space="preserve">                   </w:t>
      </w:r>
    </w:p>
    <w:p w14:paraId="7B08E326">
      <w:pPr>
        <w:spacing w:line="360" w:lineRule="auto"/>
        <w:ind w:firstLine="720" w:firstLineChars="300"/>
        <w:rPr>
          <w:rFonts w:hint="eastAsia" w:ascii="仿宋_GB2312" w:hAnsi="仿宋_GB2312" w:eastAsia="仿宋_GB2312" w:cs="仿宋_GB2312"/>
          <w:color w:val="000000"/>
          <w:u w:val="single"/>
        </w:rPr>
      </w:pPr>
      <w:r>
        <w:rPr>
          <w:rFonts w:hint="eastAsia" w:ascii="仿宋_GB2312" w:hAnsi="仿宋_GB2312" w:eastAsia="仿宋_GB2312" w:cs="仿宋_GB2312"/>
          <w:color w:val="000000"/>
        </w:rPr>
        <w:t>投标人名称（签章）：</w:t>
      </w:r>
      <w:r>
        <w:rPr>
          <w:rFonts w:hint="eastAsia" w:ascii="仿宋_GB2312" w:hAnsi="仿宋_GB2312" w:eastAsia="仿宋_GB2312" w:cs="仿宋_GB2312"/>
          <w:color w:val="000000"/>
          <w:u w:val="single"/>
        </w:rPr>
        <w:t xml:space="preserve">                                          </w:t>
      </w:r>
    </w:p>
    <w:p w14:paraId="2898C1AA">
      <w:pPr>
        <w:spacing w:line="360" w:lineRule="auto"/>
        <w:ind w:firstLine="720" w:firstLineChars="300"/>
        <w:rPr>
          <w:rFonts w:hint="eastAsia" w:ascii="仿宋_GB2312" w:hAnsi="仿宋_GB2312" w:eastAsia="仿宋_GB2312" w:cs="仿宋_GB2312"/>
          <w:color w:val="000000"/>
        </w:rPr>
      </w:pPr>
      <w:r>
        <w:rPr>
          <w:rFonts w:hint="eastAsia" w:ascii="仿宋_GB2312" w:hAnsi="仿宋_GB2312" w:eastAsia="仿宋_GB2312" w:cs="仿宋_GB2312"/>
          <w:color w:val="000000"/>
        </w:rPr>
        <w:t>日期：    年   月   日</w:t>
      </w:r>
    </w:p>
    <w:p w14:paraId="79C6E02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00D68"/>
    <w:rsid w:val="0CB27AE1"/>
    <w:rsid w:val="3C73403C"/>
    <w:rsid w:val="3E9B4946"/>
    <w:rsid w:val="43000D68"/>
    <w:rsid w:val="45986DBD"/>
    <w:rsid w:val="521C7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楷体_GB2312" w:cs="Times New Roman"/>
      <w:kern w:val="2"/>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17"/>
      <w:jc w:val="left"/>
    </w:pPr>
    <w:rPr>
      <w:rFonts w:ascii="宋体" w:hAnsi="宋体" w:eastAsia="宋体" w:cs="黑体"/>
      <w:kern w:val="0"/>
      <w:lang w:eastAsia="en-US"/>
    </w:rPr>
  </w:style>
  <w:style w:type="paragraph" w:customStyle="1" w:styleId="5">
    <w:name w:val="xl29"/>
    <w:basedOn w:val="1"/>
    <w:qFormat/>
    <w:uiPriority w:val="99"/>
    <w:pPr>
      <w:widowControl/>
      <w:spacing w:before="100" w:beforeAutospacing="1" w:after="100" w:afterAutospacing="1"/>
      <w:jc w:val="center"/>
    </w:pPr>
    <w:rPr>
      <w:rFonts w:ascii="宋体" w:hAnsi="宋体" w:eastAsia="宋体"/>
      <w:kern w:val="0"/>
      <w:sz w:val="28"/>
      <w:szCs w:val="28"/>
    </w:rPr>
  </w:style>
  <w:style w:type="paragraph" w:customStyle="1" w:styleId="6">
    <w:name w:val="标题 61"/>
    <w:basedOn w:val="1"/>
    <w:qFormat/>
    <w:uiPriority w:val="0"/>
    <w:pPr>
      <w:ind w:left="107"/>
      <w:jc w:val="left"/>
      <w:outlineLvl w:val="6"/>
    </w:pPr>
    <w:rPr>
      <w:rFonts w:ascii="宋体" w:hAnsi="宋体" w:eastAsia="宋体" w:cs="黑体"/>
      <w:b/>
      <w:bCs/>
      <w:kern w:val="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2025-11-03T03:12:00Z</dcterms:created>
  <dc:creator>a.Jam</dc:creator>
  <cp:lastModifiedBy>a.Jam</cp:lastModifiedBy>
  <dcterms:modified xsi:type="dcterms:W3CDTF">2025-11-03T03:16:26Z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D0B41DE59B6745399A32E2EC65E609DE_13</vt:lpwstr>
  </property>
  <property fmtid="{D5CDD505-2E9C-101B-9397-08002B2CF9AE}" pid="4" name="KSOTemplateDocerSaveRecord">
    <vt:lpwstr>eyJoZGlkIjoiMzZhOTkxYmYwZjc4MDQ2NjJhY2VkZjVhMmYyZTM4NDciLCJ1c2VySWQiOiIzNDIwMzAzNzIifQ==</vt:lpwstr>
  </property>
</Properties>
</file>